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86" w:rsidRDefault="008A1E86" w:rsidP="0029703A">
      <w:pPr>
        <w:pBdr>
          <w:bottom w:val="single" w:sz="4" w:space="1" w:color="auto"/>
        </w:pBdr>
        <w:jc w:val="center"/>
      </w:pPr>
      <w:r>
        <w:t xml:space="preserve">Dům dětí a mládeže Hluk, </w:t>
      </w:r>
      <w:r w:rsidRPr="002763AD">
        <w:t>příspěvková organizace</w:t>
      </w:r>
    </w:p>
    <w:p w:rsidR="008A1E86" w:rsidRDefault="008A1E86" w:rsidP="008A1E86">
      <w:pPr>
        <w:jc w:val="center"/>
      </w:pPr>
    </w:p>
    <w:p w:rsidR="00C707B3" w:rsidRDefault="00C707B3" w:rsidP="0029703A">
      <w:pPr>
        <w:jc w:val="center"/>
        <w:rPr>
          <w:sz w:val="28"/>
          <w:szCs w:val="28"/>
        </w:rPr>
      </w:pPr>
    </w:p>
    <w:p w:rsidR="0029703A" w:rsidRPr="0029703A" w:rsidRDefault="008A1E86" w:rsidP="0029703A">
      <w:pPr>
        <w:jc w:val="center"/>
        <w:rPr>
          <w:sz w:val="28"/>
          <w:szCs w:val="28"/>
        </w:rPr>
      </w:pPr>
      <w:r w:rsidRPr="0029703A">
        <w:rPr>
          <w:sz w:val="28"/>
          <w:szCs w:val="28"/>
        </w:rPr>
        <w:t xml:space="preserve">Vnitřní organizační směrnice </w:t>
      </w:r>
      <w:r w:rsidR="0029703A" w:rsidRPr="0029703A">
        <w:rPr>
          <w:sz w:val="28"/>
          <w:szCs w:val="28"/>
        </w:rPr>
        <w:t>k vyřizování stížností, oznámení a podnětů</w:t>
      </w:r>
    </w:p>
    <w:p w:rsidR="00F42DE6" w:rsidRDefault="00F42DE6" w:rsidP="008A1E86">
      <w:pPr>
        <w:jc w:val="center"/>
      </w:pPr>
    </w:p>
    <w:p w:rsidR="008A1E86" w:rsidRDefault="008A1E86" w:rsidP="008A1E86">
      <w:pPr>
        <w:jc w:val="center"/>
      </w:pPr>
    </w:p>
    <w:p w:rsidR="008A1E86" w:rsidRDefault="008A1E86" w:rsidP="008A1E86">
      <w:pPr>
        <w:jc w:val="center"/>
      </w:pPr>
    </w:p>
    <w:p w:rsidR="00C707B3" w:rsidRDefault="00C707B3"/>
    <w:p w:rsidR="008A1E86" w:rsidRDefault="0029703A">
      <w:proofErr w:type="gramStart"/>
      <w:r>
        <w:t>Č.j.</w:t>
      </w:r>
      <w:proofErr w:type="gramEnd"/>
      <w:r>
        <w:t xml:space="preserve"> </w:t>
      </w:r>
      <w:r w:rsidR="001E6A0C">
        <w:t xml:space="preserve"> DDM H   </w:t>
      </w:r>
      <w:r w:rsidR="001075F3">
        <w:t>9</w:t>
      </w:r>
      <w:bookmarkStart w:id="0" w:name="_GoBack"/>
      <w:bookmarkEnd w:id="0"/>
      <w:r w:rsidR="001E6A0C">
        <w:t xml:space="preserve">  / 2020</w:t>
      </w:r>
    </w:p>
    <w:p w:rsidR="001E6A0C" w:rsidRDefault="001E6A0C"/>
    <w:p w:rsidR="0029703A" w:rsidRDefault="0029703A">
      <w:r>
        <w:t>Vypracoval</w:t>
      </w:r>
      <w:r w:rsidR="001E6A0C">
        <w:t>a: Mgr. Michaela Hrdinová</w:t>
      </w:r>
      <w:r>
        <w:t>, ředitel</w:t>
      </w:r>
      <w:r w:rsidR="001E6A0C">
        <w:t>ka</w:t>
      </w:r>
    </w:p>
    <w:p w:rsidR="001E6A0C" w:rsidRDefault="001E6A0C"/>
    <w:p w:rsidR="001E6A0C" w:rsidRDefault="001E6A0C">
      <w:r>
        <w:t xml:space="preserve">Směrnice nabývá platnosti a účinnosti dne 1. 9. 2020 </w:t>
      </w:r>
    </w:p>
    <w:p w:rsidR="0029703A" w:rsidRDefault="001E6A0C">
      <w:r>
        <w:t xml:space="preserve">a ruší tím platnost směrnice ze dne </w:t>
      </w:r>
      <w:r w:rsidR="00F42DE6">
        <w:t>16. 9. 2016</w:t>
      </w:r>
      <w:r>
        <w:t>.</w:t>
      </w:r>
    </w:p>
    <w:p w:rsidR="0029703A" w:rsidRDefault="0029703A"/>
    <w:p w:rsidR="00C707B3" w:rsidRDefault="00C707B3"/>
    <w:p w:rsidR="00F42DE6" w:rsidRDefault="00F42DE6">
      <w:r>
        <w:t>Tato směrnice stan</w:t>
      </w:r>
      <w:r w:rsidR="001E6A0C">
        <w:t>oví postup Domu dětí a mládeže H</w:t>
      </w:r>
      <w:r>
        <w:t xml:space="preserve">luk, </w:t>
      </w:r>
      <w:proofErr w:type="spellStart"/>
      <w:r>
        <w:t>Boršická</w:t>
      </w:r>
      <w:proofErr w:type="spellEnd"/>
      <w:r>
        <w:t xml:space="preserve"> 145, 687 25  Hluk, při vyřizování stížností, oznámení a podnětů občanů podle ustanovení § 175 zákona č. 500/2004 Sb., správní řád, ve znění pozdějších předpisů, včetně dalších stížností, při jejichž vyřízení nelze výše uvedené ustanovení správního řádu uplatnit.</w:t>
      </w:r>
    </w:p>
    <w:p w:rsidR="00F42DE6" w:rsidRDefault="00F42DE6"/>
    <w:p w:rsidR="00C707B3" w:rsidRDefault="00C707B3"/>
    <w:p w:rsidR="00F42DE6" w:rsidRDefault="00F42DE6" w:rsidP="00F42DE6">
      <w:pPr>
        <w:ind w:left="1080"/>
        <w:jc w:val="center"/>
      </w:pPr>
      <w:r>
        <w:t>I.</w:t>
      </w:r>
    </w:p>
    <w:p w:rsidR="00F42DE6" w:rsidRDefault="00F42DE6" w:rsidP="00F42DE6">
      <w:pPr>
        <w:ind w:left="1080"/>
        <w:jc w:val="center"/>
      </w:pPr>
      <w:r>
        <w:t>Základní pojmy a zásady</w:t>
      </w:r>
    </w:p>
    <w:p w:rsidR="00F42DE6" w:rsidRDefault="00F42DE6" w:rsidP="00F42DE6">
      <w:pPr>
        <w:ind w:left="1080"/>
      </w:pPr>
    </w:p>
    <w:p w:rsidR="00F42DE6" w:rsidRDefault="00F42DE6" w:rsidP="005C467B">
      <w:pPr>
        <w:numPr>
          <w:ilvl w:val="0"/>
          <w:numId w:val="4"/>
        </w:numPr>
        <w:ind w:left="426" w:hanging="426"/>
      </w:pPr>
      <w:r>
        <w:t>Každé podání se posuzuje podle skutečného obsahu, bez ohledu na to, jak je označeno.</w:t>
      </w:r>
    </w:p>
    <w:p w:rsidR="00F42DE6" w:rsidRDefault="00F42DE6" w:rsidP="005C467B">
      <w:pPr>
        <w:numPr>
          <w:ilvl w:val="0"/>
          <w:numId w:val="4"/>
        </w:numPr>
        <w:ind w:left="426" w:hanging="426"/>
      </w:pPr>
      <w:r>
        <w:t>Stížností se rozumí podání fyzické či právnické osoby v individuálním zájmu, kterým se domáhá ochrany svých porušovaných nebo ohrožovaných práv nebo oprávněných zájmů.</w:t>
      </w:r>
    </w:p>
    <w:p w:rsidR="00F42DE6" w:rsidRDefault="00F42DE6" w:rsidP="005C467B">
      <w:pPr>
        <w:numPr>
          <w:ilvl w:val="0"/>
          <w:numId w:val="4"/>
        </w:numPr>
        <w:ind w:left="426" w:hanging="426"/>
      </w:pPr>
      <w:r>
        <w:t xml:space="preserve">Oznámení jsou podání, která upozorňují na negativní jevy dotýkající se působnosti domu dětí a mládeže a sledují převážně zájmy větší </w:t>
      </w:r>
      <w:r w:rsidR="005C467B">
        <w:t>skupiny.</w:t>
      </w:r>
    </w:p>
    <w:p w:rsidR="005C467B" w:rsidRDefault="005C467B" w:rsidP="005C467B">
      <w:pPr>
        <w:numPr>
          <w:ilvl w:val="0"/>
          <w:numId w:val="4"/>
        </w:numPr>
        <w:ind w:left="426" w:hanging="426"/>
      </w:pPr>
      <w:r>
        <w:t>Podněty jsou návrhy na zlepšení existujícího stavu, případně na řešení určité problematiky ve všech oblastech činnosti.</w:t>
      </w:r>
    </w:p>
    <w:p w:rsidR="005C467B" w:rsidRDefault="005C467B" w:rsidP="005C467B">
      <w:pPr>
        <w:numPr>
          <w:ilvl w:val="0"/>
          <w:numId w:val="4"/>
        </w:numPr>
        <w:ind w:left="426" w:hanging="426"/>
      </w:pPr>
      <w:r>
        <w:t>Následující pravidla pro příjem a vyřizování stížností se přiměřeně používají i při vyřizování oznámení a podnětů.</w:t>
      </w:r>
    </w:p>
    <w:p w:rsidR="005C467B" w:rsidRDefault="005C467B" w:rsidP="005C467B">
      <w:pPr>
        <w:ind w:left="502"/>
      </w:pPr>
    </w:p>
    <w:p w:rsidR="00C707B3" w:rsidRDefault="00C707B3" w:rsidP="005C467B">
      <w:pPr>
        <w:ind w:left="502"/>
      </w:pPr>
    </w:p>
    <w:p w:rsidR="005C467B" w:rsidRDefault="005C467B" w:rsidP="005C467B">
      <w:pPr>
        <w:jc w:val="center"/>
      </w:pPr>
      <w:r>
        <w:t>II.</w:t>
      </w:r>
    </w:p>
    <w:p w:rsidR="005C467B" w:rsidRDefault="005C467B" w:rsidP="005C467B">
      <w:pPr>
        <w:jc w:val="center"/>
      </w:pPr>
      <w:r>
        <w:t>Kompetence k vyřizování stížností</w:t>
      </w:r>
    </w:p>
    <w:p w:rsidR="005C467B" w:rsidRDefault="005C467B" w:rsidP="005C467B"/>
    <w:p w:rsidR="005C467B" w:rsidRDefault="005C467B" w:rsidP="005C467B">
      <w:pPr>
        <w:numPr>
          <w:ilvl w:val="0"/>
          <w:numId w:val="5"/>
        </w:numPr>
        <w:ind w:left="426" w:hanging="426"/>
      </w:pPr>
      <w:r>
        <w:t>Pokud stížnost směřuje proti postupu ředitele DDM, je třeba předmětnou stížnost podávat řediteli DDM. Ten je pak povinen při jejím řešení postupovat v souladu s ustanovením § 175 zákona č. 500/2004 Sb.</w:t>
      </w:r>
    </w:p>
    <w:p w:rsidR="005C467B" w:rsidRDefault="005C467B" w:rsidP="005C467B">
      <w:pPr>
        <w:numPr>
          <w:ilvl w:val="0"/>
          <w:numId w:val="5"/>
        </w:numPr>
        <w:ind w:left="426" w:hanging="426"/>
      </w:pPr>
      <w:r>
        <w:t>Pokud se stížnost týká některé z oblastí, jejichž hodnocení a kontrola je v působnosti České školní inspekce, je třeba tuto stížnost podávat zřizovateli, popř. přímo ČŠI.</w:t>
      </w:r>
    </w:p>
    <w:p w:rsidR="00D30AAC" w:rsidRDefault="00D30AAC" w:rsidP="005C467B">
      <w:pPr>
        <w:numPr>
          <w:ilvl w:val="0"/>
          <w:numId w:val="5"/>
        </w:numPr>
        <w:ind w:left="426" w:hanging="426"/>
      </w:pPr>
      <w:r>
        <w:t xml:space="preserve">Pokud je stížností napadána zaměstnancem právnické osoby vykonávající činnost zájmového vzdělávání jako statutárnímu orgánu zaměstnavatele, který je povinen ji se zaměstnancem projednat, a to v souladu s ustanovením § 14 odst. 3 zákoníku práce. </w:t>
      </w:r>
    </w:p>
    <w:p w:rsidR="00D30AAC" w:rsidRDefault="00D30AAC" w:rsidP="00D30AAC"/>
    <w:p w:rsidR="00C707B3" w:rsidRDefault="00C707B3" w:rsidP="00D30AAC"/>
    <w:p w:rsidR="00D30AAC" w:rsidRDefault="00D30AAC" w:rsidP="00D30AAC">
      <w:pPr>
        <w:jc w:val="center"/>
      </w:pPr>
      <w:r>
        <w:t>III.</w:t>
      </w:r>
    </w:p>
    <w:p w:rsidR="00D30AAC" w:rsidRDefault="00D30AAC" w:rsidP="00D30AAC">
      <w:pPr>
        <w:jc w:val="center"/>
      </w:pPr>
      <w:r>
        <w:t>Přijímání stížností</w:t>
      </w:r>
    </w:p>
    <w:p w:rsidR="00D30AAC" w:rsidRDefault="00D30AAC" w:rsidP="00D30AAC"/>
    <w:p w:rsidR="00D30AAC" w:rsidRDefault="00D30AAC" w:rsidP="00D30AAC">
      <w:pPr>
        <w:numPr>
          <w:ilvl w:val="0"/>
          <w:numId w:val="6"/>
        </w:numPr>
        <w:ind w:left="426" w:hanging="426"/>
      </w:pPr>
      <w:r>
        <w:t>Došlé a ústně podané stížnosti eviduje pověřený pracovník odděleně od ostatní doručené poštou. Přijímají a evidují se i stížnosti došlé elektronickou poštou. Z obsahu stížnosti musí být patrné, kdo ji podává a které věci se týká. Pokud stěžovatel neuvede místo trvalého pobytu či kontaktní adresu pro doručování písemností, je stížnost kvalifikována jako anonymní. (Ředitel DDM rozhodne, zda bude stěžovatel požádán o sdělení poštovní adresy, na které bude o vyřízení stížnosti vyrozuměn).</w:t>
      </w:r>
    </w:p>
    <w:p w:rsidR="00D30AAC" w:rsidRDefault="00D30AAC" w:rsidP="00D30AAC"/>
    <w:p w:rsidR="00D30AAC" w:rsidRDefault="00D30AAC" w:rsidP="00D30AAC">
      <w:pPr>
        <w:ind w:left="426"/>
      </w:pPr>
      <w:r>
        <w:t>Evidence stížnosti obsahuje:</w:t>
      </w:r>
    </w:p>
    <w:p w:rsidR="00D30AAC" w:rsidRDefault="00D30AAC" w:rsidP="00D30AAC">
      <w:pPr>
        <w:numPr>
          <w:ilvl w:val="0"/>
          <w:numId w:val="7"/>
        </w:numPr>
      </w:pPr>
      <w:r>
        <w:t>Datum podání</w:t>
      </w:r>
    </w:p>
    <w:p w:rsidR="00D30AAC" w:rsidRDefault="00D30AAC" w:rsidP="00D30AAC">
      <w:pPr>
        <w:numPr>
          <w:ilvl w:val="0"/>
          <w:numId w:val="7"/>
        </w:numPr>
      </w:pPr>
      <w:r>
        <w:t>Jméno, příjmení a adresu stěžovatele</w:t>
      </w:r>
    </w:p>
    <w:p w:rsidR="00D30AAC" w:rsidRDefault="00D30AAC" w:rsidP="00D30AAC">
      <w:pPr>
        <w:numPr>
          <w:ilvl w:val="0"/>
          <w:numId w:val="7"/>
        </w:numPr>
      </w:pPr>
      <w:r>
        <w:t>Označení organizace nebo osoby, proti níž stížnost směřuje</w:t>
      </w:r>
    </w:p>
    <w:p w:rsidR="00D30AAC" w:rsidRDefault="00D30AAC" w:rsidP="00D30AAC">
      <w:pPr>
        <w:numPr>
          <w:ilvl w:val="0"/>
          <w:numId w:val="7"/>
        </w:numPr>
      </w:pPr>
      <w:r>
        <w:t>Předmět stížnosti</w:t>
      </w:r>
    </w:p>
    <w:p w:rsidR="00D30AAC" w:rsidRDefault="00D30AAC" w:rsidP="00D30AAC">
      <w:pPr>
        <w:numPr>
          <w:ilvl w:val="0"/>
          <w:numId w:val="7"/>
        </w:numPr>
      </w:pPr>
      <w:r>
        <w:t>Kdy a komu byla stížnost předána k prošetření nebo vyřízení</w:t>
      </w:r>
    </w:p>
    <w:p w:rsidR="00D30AAC" w:rsidRDefault="00FC52C9" w:rsidP="00D30AAC">
      <w:pPr>
        <w:numPr>
          <w:ilvl w:val="0"/>
          <w:numId w:val="7"/>
        </w:numPr>
      </w:pPr>
      <w:r>
        <w:t>Výsledek šetření (zda je stížnost hodnocena jako nedůvodná, důvodná či důvodná částečně)</w:t>
      </w:r>
    </w:p>
    <w:p w:rsidR="00FC52C9" w:rsidRDefault="00FC52C9" w:rsidP="00D30AAC">
      <w:pPr>
        <w:numPr>
          <w:ilvl w:val="0"/>
          <w:numId w:val="7"/>
        </w:numPr>
      </w:pPr>
      <w:r>
        <w:t>Přijatá opatření k nápravě zjištěných nedostatků</w:t>
      </w:r>
    </w:p>
    <w:p w:rsidR="00FC52C9" w:rsidRDefault="00FC52C9" w:rsidP="00D30AAC">
      <w:pPr>
        <w:numPr>
          <w:ilvl w:val="0"/>
          <w:numId w:val="7"/>
        </w:numPr>
      </w:pPr>
      <w:r>
        <w:t>Datum podání zprávy o v</w:t>
      </w:r>
      <w:r w:rsidR="001E6A0C">
        <w:t>yří</w:t>
      </w:r>
      <w:r>
        <w:t>zení stížnosti</w:t>
      </w:r>
    </w:p>
    <w:p w:rsidR="00FC52C9" w:rsidRDefault="00FC52C9" w:rsidP="00D30AAC">
      <w:pPr>
        <w:numPr>
          <w:ilvl w:val="0"/>
          <w:numId w:val="7"/>
        </w:numPr>
      </w:pPr>
      <w:r>
        <w:t>Výsledek kontroly, jak byla opatření k nápravě splněna</w:t>
      </w:r>
    </w:p>
    <w:p w:rsidR="00FC52C9" w:rsidRDefault="00FC52C9" w:rsidP="00FC52C9">
      <w:pPr>
        <w:numPr>
          <w:ilvl w:val="0"/>
          <w:numId w:val="6"/>
        </w:numPr>
        <w:ind w:left="426" w:hanging="426"/>
      </w:pPr>
      <w:r>
        <w:t>V případě ústně podané stížnosti se stěžovatelem jedná ředitel DDM. O ústně podané stížnosti, kterou nelze vyřídit při jejím podání, sepíše pověřený pracovník záznam.</w:t>
      </w:r>
    </w:p>
    <w:p w:rsidR="00FC52C9" w:rsidRDefault="00FC52C9" w:rsidP="00FC52C9">
      <w:pPr>
        <w:numPr>
          <w:ilvl w:val="0"/>
          <w:numId w:val="6"/>
        </w:numPr>
        <w:ind w:left="426" w:hanging="426"/>
      </w:pPr>
      <w:r>
        <w:t>Údaje o stížnostech jsou ochraňovány podle zákona o ochraně osobních údajů.</w:t>
      </w:r>
    </w:p>
    <w:p w:rsidR="00FC52C9" w:rsidRDefault="00FC52C9" w:rsidP="00FC52C9"/>
    <w:p w:rsidR="00C707B3" w:rsidRDefault="00C707B3" w:rsidP="00FC52C9"/>
    <w:p w:rsidR="00FC52C9" w:rsidRDefault="00FC52C9" w:rsidP="00FC52C9">
      <w:pPr>
        <w:jc w:val="center"/>
      </w:pPr>
      <w:r>
        <w:t>IV.</w:t>
      </w:r>
    </w:p>
    <w:p w:rsidR="00FC52C9" w:rsidRDefault="00FC52C9" w:rsidP="00FC52C9">
      <w:pPr>
        <w:jc w:val="center"/>
      </w:pPr>
      <w:r>
        <w:t>Vyřizování stížností</w:t>
      </w:r>
    </w:p>
    <w:p w:rsidR="00FC52C9" w:rsidRDefault="00FC52C9" w:rsidP="00FC52C9"/>
    <w:p w:rsidR="00FC52C9" w:rsidRDefault="00FC52C9" w:rsidP="00FC52C9">
      <w:pPr>
        <w:numPr>
          <w:ilvl w:val="0"/>
          <w:numId w:val="8"/>
        </w:numPr>
        <w:ind w:left="426" w:hanging="426"/>
      </w:pPr>
      <w:r>
        <w:t>O stížnosti podané vůči řediteli DDM bude tento neprodleně informovat zřizovatele.</w:t>
      </w:r>
    </w:p>
    <w:p w:rsidR="00FC52C9" w:rsidRDefault="00FC52C9" w:rsidP="00FC52C9">
      <w:pPr>
        <w:numPr>
          <w:ilvl w:val="0"/>
          <w:numId w:val="8"/>
        </w:numPr>
        <w:ind w:left="426" w:hanging="426"/>
      </w:pPr>
      <w:r>
        <w:t xml:space="preserve">Stížnost, jejíž prošetření a vyřízení náleží do působnosti jiného orgánu nebo organizace než je DDM Hluk, postoupí DDM stížnost příslušným orgánům a organizacím k přímému vyřízení </w:t>
      </w:r>
      <w:r w:rsidR="0058230F">
        <w:t xml:space="preserve">do 5 dnů </w:t>
      </w:r>
      <w:r>
        <w:t xml:space="preserve">a vyrozumí </w:t>
      </w:r>
      <w:r w:rsidR="0058230F">
        <w:t>o tom stěžovatele.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>V zájmu odborného a věcně správného vyřízení předmětu stížnosti jsou všichni pracovníci DDM povinni poskytnout nezbytnou součinnost.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 xml:space="preserve">Vůči stěžovatelům nesmí být činěny přímé a </w:t>
      </w:r>
      <w:proofErr w:type="gramStart"/>
      <w:r>
        <w:t>ni</w:t>
      </w:r>
      <w:proofErr w:type="gramEnd"/>
      <w:r>
        <w:t xml:space="preserve"> nepřímé zákroky proto, že podal stížnost. Odpovědnost za trestný čin nebo správní delikt nejsou tímto dotčeny.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>Nepodepsané (anonymní) stížnosti se prošetřují jen tehdy, pokud obsahují údaje, které lze prošetřit. V opačném případě se pouze evidují a následně odkládají.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>Opakuje-li stěžovatel stížnost, ředitel DDM posoudí, zda stížnost obsahuje nové skutečnosti. Pokud tomu tak není, oznámí stěžovateli, že neshledal důvod se stížností opakovaně zabývat.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 xml:space="preserve">Pověřený pracovník je povinen stížnost vyřídit do 60 dnů od jejího zaevidování. Je povinen prošetřit všechny body stížnosti a o vyřízení vyrozumět stěžovatele (písemně, osobním jednáním). Při osobním </w:t>
      </w:r>
      <w:r w:rsidR="00C707B3">
        <w:t>jednání</w:t>
      </w:r>
      <w:r>
        <w:t xml:space="preserve"> se vyhotoví zápis ve </w:t>
      </w:r>
      <w:proofErr w:type="gramStart"/>
      <w:r>
        <w:t>dvou</w:t>
      </w:r>
      <w:proofErr w:type="gramEnd"/>
      <w:r>
        <w:t xml:space="preserve"> </w:t>
      </w:r>
      <w:proofErr w:type="spellStart"/>
      <w:r>
        <w:t>paré</w:t>
      </w:r>
      <w:proofErr w:type="spellEnd"/>
      <w:r>
        <w:t>.</w:t>
      </w:r>
    </w:p>
    <w:p w:rsidR="0058230F" w:rsidRDefault="0058230F" w:rsidP="00FC52C9">
      <w:pPr>
        <w:numPr>
          <w:ilvl w:val="0"/>
          <w:numId w:val="8"/>
        </w:numPr>
        <w:ind w:left="426" w:hanging="426"/>
      </w:pPr>
      <w:r>
        <w:t xml:space="preserve">Zápis musí obsahovat datum jednání, jména všech zúčastněných osob, stručný a výstižný obsah jednání a vyřízení stížnosti. Zápis podepíší všichni účastníci jednání, </w:t>
      </w:r>
      <w:r>
        <w:lastRenderedPageBreak/>
        <w:t>pokud některý účastník odmítne zápis podepsat nebo nesouhlasí s jeho obsahem, poznamená to s uvedením důvodů.</w:t>
      </w:r>
    </w:p>
    <w:p w:rsidR="00C707B3" w:rsidRDefault="00C707B3" w:rsidP="00FC52C9">
      <w:pPr>
        <w:numPr>
          <w:ilvl w:val="0"/>
          <w:numId w:val="8"/>
        </w:numPr>
        <w:ind w:left="426" w:hanging="426"/>
      </w:pPr>
      <w:r>
        <w:t>V závěru zápisu lze uvést: „Tímto jednáním považuje paní/pán ………… svoji stížnost za vyřízenou a netrvá na písemném vyrozumění.“ Pokud stěžovatel stížnost podepíše, není třeba vyřízení stížnosti zasílat písemně.</w:t>
      </w:r>
    </w:p>
    <w:p w:rsidR="00C707B3" w:rsidRDefault="00C707B3" w:rsidP="00FC52C9">
      <w:pPr>
        <w:numPr>
          <w:ilvl w:val="0"/>
          <w:numId w:val="8"/>
        </w:numPr>
        <w:ind w:left="426" w:hanging="426"/>
      </w:pPr>
      <w:r>
        <w:t>Lhůtu k vyřízení stížností (60 dnů) lze překročit se souhlasem ředitele DDM. O důvodech musí být vyrozuměn stěžovatel.</w:t>
      </w:r>
    </w:p>
    <w:p w:rsidR="00C707B3" w:rsidRDefault="00C707B3" w:rsidP="00FC52C9">
      <w:pPr>
        <w:numPr>
          <w:ilvl w:val="0"/>
          <w:numId w:val="8"/>
        </w:numPr>
        <w:ind w:left="426" w:hanging="426"/>
      </w:pPr>
      <w:r>
        <w:t>Opatření k odstranění zjištěných nedostatků v případě důvodných nebo částečně důvodných stížností stanoví ředitel DDM. Současně kontroluje jejich plnění.</w:t>
      </w:r>
    </w:p>
    <w:p w:rsidR="00C707B3" w:rsidRDefault="00C707B3" w:rsidP="00FC52C9">
      <w:pPr>
        <w:numPr>
          <w:ilvl w:val="0"/>
          <w:numId w:val="8"/>
        </w:numPr>
        <w:ind w:left="426" w:hanging="426"/>
      </w:pPr>
      <w:r>
        <w:t>Stížnosti a spisový materiál týkající se jejich vyřízení se ukládají odděleně od ostatních spisů po dobu 5 let.</w:t>
      </w:r>
    </w:p>
    <w:p w:rsidR="00C707B3" w:rsidRDefault="00C707B3" w:rsidP="00C707B3"/>
    <w:p w:rsidR="00C707B3" w:rsidRDefault="00C707B3" w:rsidP="00C707B3"/>
    <w:p w:rsidR="00C707B3" w:rsidRDefault="00C707B3" w:rsidP="00C707B3"/>
    <w:p w:rsidR="00C707B3" w:rsidRDefault="001E6A0C" w:rsidP="00C707B3">
      <w:r>
        <w:t>V Hluku dne: 27. 8. 2020</w:t>
      </w:r>
    </w:p>
    <w:p w:rsidR="00C707B3" w:rsidRDefault="00C707B3" w:rsidP="00C707B3"/>
    <w:p w:rsidR="00C707B3" w:rsidRDefault="00C707B3" w:rsidP="00C707B3"/>
    <w:p w:rsidR="00C707B3" w:rsidRDefault="001E6A0C" w:rsidP="00C707B3">
      <w:pPr>
        <w:jc w:val="right"/>
      </w:pPr>
      <w:r>
        <w:t>Mgr. Michaela Hrdinová</w:t>
      </w:r>
      <w:r w:rsidR="00C707B3">
        <w:t>, ředitel</w:t>
      </w:r>
      <w:r>
        <w:t>ka</w:t>
      </w:r>
    </w:p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p w:rsidR="00C707B3" w:rsidRDefault="00C707B3" w:rsidP="00C707B3"/>
    <w:sectPr w:rsidR="00C707B3" w:rsidSect="007C568A">
      <w:pgSz w:w="11906" w:h="16838"/>
      <w:pgMar w:top="96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9DB"/>
    <w:multiLevelType w:val="hybridMultilevel"/>
    <w:tmpl w:val="0E203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7FA0"/>
    <w:multiLevelType w:val="hybridMultilevel"/>
    <w:tmpl w:val="9ECC8D06"/>
    <w:lvl w:ilvl="0" w:tplc="ECAC1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099C"/>
    <w:multiLevelType w:val="hybridMultilevel"/>
    <w:tmpl w:val="89446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B151D"/>
    <w:multiLevelType w:val="hybridMultilevel"/>
    <w:tmpl w:val="6F12A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069F"/>
    <w:multiLevelType w:val="hybridMultilevel"/>
    <w:tmpl w:val="6864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C291A"/>
    <w:multiLevelType w:val="hybridMultilevel"/>
    <w:tmpl w:val="FD10DC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0A89"/>
    <w:multiLevelType w:val="hybridMultilevel"/>
    <w:tmpl w:val="9942F8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AA0626"/>
    <w:multiLevelType w:val="hybridMultilevel"/>
    <w:tmpl w:val="C82E313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6"/>
    <w:rsid w:val="000861C3"/>
    <w:rsid w:val="001075F3"/>
    <w:rsid w:val="001E6A0C"/>
    <w:rsid w:val="0029703A"/>
    <w:rsid w:val="002C7F49"/>
    <w:rsid w:val="004D2714"/>
    <w:rsid w:val="00570F4C"/>
    <w:rsid w:val="00574913"/>
    <w:rsid w:val="0058230F"/>
    <w:rsid w:val="005C467B"/>
    <w:rsid w:val="00625DF9"/>
    <w:rsid w:val="0063453D"/>
    <w:rsid w:val="00657DE6"/>
    <w:rsid w:val="00677216"/>
    <w:rsid w:val="006E6BCF"/>
    <w:rsid w:val="007C568A"/>
    <w:rsid w:val="00803CD9"/>
    <w:rsid w:val="008224A1"/>
    <w:rsid w:val="008A1E86"/>
    <w:rsid w:val="008E4319"/>
    <w:rsid w:val="0098111D"/>
    <w:rsid w:val="00A54F57"/>
    <w:rsid w:val="00BD2F1A"/>
    <w:rsid w:val="00C707B3"/>
    <w:rsid w:val="00D30AAC"/>
    <w:rsid w:val="00D51FE7"/>
    <w:rsid w:val="00F42DE6"/>
    <w:rsid w:val="00F74B9E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ED6DF"/>
  <w15:docId w15:val="{157A7A20-35AB-4273-A079-B978CB2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BCF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981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706B-7EA9-42D5-8F45-6A92D0D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Hluk, příspěvková organizace</vt:lpstr>
    </vt:vector>
  </TitlesOfParts>
  <Company>DDM Hluk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Hluk, příspěvková organizace</dc:title>
  <dc:creator>Josef Vaškových</dc:creator>
  <cp:lastModifiedBy>Michaela Hrdinová</cp:lastModifiedBy>
  <cp:revision>8</cp:revision>
  <cp:lastPrinted>2021-03-01T08:10:00Z</cp:lastPrinted>
  <dcterms:created xsi:type="dcterms:W3CDTF">2021-01-21T08:44:00Z</dcterms:created>
  <dcterms:modified xsi:type="dcterms:W3CDTF">2021-03-01T08:10:00Z</dcterms:modified>
</cp:coreProperties>
</file>